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b/>
          <w:sz w:val="16"/>
          <w:szCs w:val="16"/>
        </w:rPr>
      </w:pPr>
      <w:r w:rsidRPr="00535B79">
        <w:rPr>
          <w:rFonts w:ascii="Arial" w:hAnsi="Arial" w:cs="Arial"/>
          <w:b/>
          <w:sz w:val="16"/>
          <w:szCs w:val="16"/>
        </w:rPr>
        <w:t>PROGRAMMES CYCLE 2</w:t>
      </w:r>
    </w:p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b/>
          <w:sz w:val="16"/>
          <w:szCs w:val="16"/>
        </w:rPr>
      </w:pPr>
      <w:r w:rsidRPr="00535B79">
        <w:rPr>
          <w:rFonts w:ascii="Arial" w:hAnsi="Arial" w:cs="Arial"/>
          <w:b/>
          <w:sz w:val="16"/>
          <w:szCs w:val="16"/>
        </w:rPr>
        <w:t xml:space="preserve">Français </w:t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11"/>
      </w:tblGrid>
      <w:tr w:rsidR="00535B79" w:rsidRPr="00535B79" w:rsidTr="007A75E9">
        <w:tc>
          <w:tcPr>
            <w:tcW w:w="14144" w:type="dxa"/>
            <w:gridSpan w:val="4"/>
            <w:shd w:val="pct5" w:color="auto" w:fill="auto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Langue orale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Langue orale</w:t>
            </w:r>
          </w:p>
        </w:tc>
      </w:tr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Écouter pour comprendre des messages oraux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ou des textes lus par un adulte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LO1 : Maintenir une attention d'écoute active pour comprendre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LO2 :  Repérer et mémoriser des informations importantes 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LO3 : Comprendre l'enchaînement mental de ces informations (faire des liens chronologiques ou logiques)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LO4 : Mobiliser des références culturelles nécessaires pour comprendre le message ou le texte.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L05 :  Repérer des mots qui ne sont pas compris (lexique) et essayer d'en trouver l'explication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L06 : Expliciter ce qui a permis de comprendre un énoncé ou un texte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Dire pour être entendu et compris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LO7 : Prendre en compte les personnes à qui on s'adresse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LO8 : Mobiliser les techniques qui font qu'on est écouté (voix, intonation, débit, posture,...)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LO9 : Organiser un discours  : présenter un travail à ses pairs, rappels de récits, présenter un ouvrage,...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L010:  Mettre un texte en voix (lecture à voix haute)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L11  :  réciter et interpréter un texte mémorisé (récitation)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Participer à des échanges dans des situations diversifiées (régulation de la vie de la classe ou séances d'apprentissage par exemple)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LO12 : Respect des règles régulant les échanges (prise de parole, rôles)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LO13 : Préparer et organiser un propos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Adopter une distance critique par rapport au langage produit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LO14 : participer à l'élaboration de critères de réussite pour les prestations orales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LO15 : repérer le respect ou  le non-respect  des règles d'échanges lors de situations orales  (en situation d'observateur)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sz w:val="16"/>
          <w:szCs w:val="16"/>
        </w:rPr>
      </w:pPr>
    </w:p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35B79">
        <w:rPr>
          <w:rFonts w:ascii="Arial" w:hAnsi="Arial" w:cs="Arial"/>
          <w:b/>
          <w:sz w:val="16"/>
          <w:szCs w:val="16"/>
          <w:u w:val="single"/>
        </w:rPr>
        <w:t>Lecture et compréhension de l’écrit</w:t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11"/>
      </w:tblGrid>
      <w:tr w:rsidR="00535B79" w:rsidRPr="00535B79" w:rsidTr="007A75E9">
        <w:tc>
          <w:tcPr>
            <w:tcW w:w="14144" w:type="dxa"/>
            <w:gridSpan w:val="4"/>
            <w:shd w:val="pct5" w:color="auto" w:fill="auto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Lecture</w:t>
            </w:r>
          </w:p>
        </w:tc>
      </w:tr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Identifier  des mots de manière de plus en plus aisée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LECT1 : Identifier et discriminer des phonèmes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2 : Identifier et reconnaître des lettres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3 : Lire et construire des syllabes simples puis complexes (combinatoire)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4 : Mémoriser les correspondances graphèmes/phonèmes ( correspondances graphophonologiques)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5 : Mémoriser des mots courants et irréguliers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7 : Ecrire (encoder) des mots en utilisant ses connaissances sur le code alphabétique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Comprendre un texte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8 : Utiliser  les connaissances du système graphophonologiques (correspondances graphèmes/phonèmes) pour comprendre un mot, un texte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LECT 9 : Connaître et utiliser des démarches pour comprendre un texte 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Identifier les informations importantes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Relier les informations entre elles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Identifier les liens logiques et chronologiques  entre les informations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Utiliser ses propres connaissances (inférences culturelles) pour comprendre un texte.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Formuler des hypothèses 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lastRenderedPageBreak/>
              <w:t>Utiliser ses connaissances d’autres textes pour comprendre un texte (exemple : le personnage-type, les mises en relation avec d’autres textes connus,…)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lastRenderedPageBreak/>
              <w:t>LECT 10 : Mobiliser ses connaissances lexicales pour comprendre un texte.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Pratiquer différentes formes de lecture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11 : Lire des  textes et des documents divers pour comprendre les fonctions de la lecture (lire pour avoir des informations, lire pour raconter, lire pour le plaisir,  lire pour faire,…)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12 : Se repérer dans un lieu de lecture (BCD, bibliothèque)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35B79">
              <w:rPr>
                <w:rFonts w:ascii="Arial" w:hAnsi="Arial" w:cs="Arial"/>
                <w:bCs/>
                <w:sz w:val="16"/>
                <w:szCs w:val="16"/>
              </w:rPr>
              <w:t>LECT 13 : savoir se repérer dans un manuel ou des ouvrages documentaires (table de matière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Lecture à voix haute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35B79">
              <w:rPr>
                <w:rFonts w:ascii="Arial" w:hAnsi="Arial" w:cs="Arial"/>
                <w:bCs/>
                <w:sz w:val="16"/>
                <w:szCs w:val="16"/>
              </w:rPr>
              <w:t>LECT 14 : Déchiffrer un mot nouveau ou difficile</w:t>
            </w:r>
          </w:p>
        </w:tc>
        <w:tc>
          <w:tcPr>
            <w:tcW w:w="709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15 : Identifier et utiliser les marques de ponctuation pour lire un texte à voix haute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16 : Savoir lire un texte de manière expressive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Contrôler sa compréhension d’un texte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35B79">
              <w:rPr>
                <w:rFonts w:ascii="Arial" w:hAnsi="Arial" w:cs="Arial"/>
                <w:bCs/>
                <w:sz w:val="16"/>
                <w:szCs w:val="16"/>
              </w:rPr>
              <w:t>LECT 17 : justifier une réponse ou un interprétation en revenant au texte.</w:t>
            </w:r>
          </w:p>
        </w:tc>
        <w:tc>
          <w:tcPr>
            <w:tcW w:w="709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18 : repérer les difficultés de compréhension d’un texte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19 : Savoir expliquer comment on a fait pour comprendre un texte ou demander de l’aide si nécessaire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B79" w:rsidRPr="00535B79" w:rsidRDefault="00535B79" w:rsidP="00535B79">
      <w:pPr>
        <w:ind w:left="1416" w:hanging="141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35B79">
        <w:rPr>
          <w:rFonts w:ascii="Arial" w:hAnsi="Arial" w:cs="Arial"/>
          <w:b/>
          <w:sz w:val="16"/>
          <w:szCs w:val="16"/>
          <w:u w:val="single"/>
        </w:rPr>
        <w:t>Ecriture</w:t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11"/>
      </w:tblGrid>
      <w:tr w:rsidR="00535B79" w:rsidRPr="00535B79" w:rsidTr="007A75E9">
        <w:tc>
          <w:tcPr>
            <w:tcW w:w="14144" w:type="dxa"/>
            <w:gridSpan w:val="4"/>
            <w:shd w:val="pct5" w:color="auto" w:fill="auto"/>
          </w:tcPr>
          <w:p w:rsid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Ecriture</w:t>
            </w:r>
          </w:p>
          <w:p w:rsidR="00574DE0" w:rsidRPr="00535B79" w:rsidRDefault="00574DE0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Copier de manière experte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1 : Maitriser les gestes de l’écriture cursive exécutés avec une vitesse et une sureté croissantes.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2 : Connaître les correspondances entre diverses écritures des lettres pour transcrire un texte ( copie au clavier).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3 : Utiliser des stratégies de copie (permettant d’éviter la copie lettre à lettre)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4 : Utiliser un traitement des textes pour mettre en page un court texte saisi au clavier.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Produire des écrits en commençant à s’approprier une démarche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EC5  Identification de caractéristiques propres à différents genres de textes.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6  Mettre en œuvre une démarche de production de texte (guidée puis  plus autonome): chercher les idées, concevoir puis écrire des phrases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7 : Mobiliser ses connaissances (orthographiques et grammaticales) pour produire un écrit.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8 : Mobilisation des outils à disposition dans la classe liés à l’étude de la langue pour produire un texte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Réviser et améliorer l’écrit qu’on a produit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9 : Repérer des  dysfonctionnements dans les textes produits (omissions, incohérences, redites…)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10 : Mobiliser des connaissances portant sur le genre d’écrit à produire et sur la langue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11  Améliorer un texte au niveau de l’orthographe (avec aide de l’enseignant puis de manière plus autonome)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12  Savoir utiliser des outils pour réviser un texte (grilles de relecture, correcteur orthographique)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B79" w:rsidRPr="00535B79" w:rsidRDefault="00535B79" w:rsidP="00535B79">
      <w:pPr>
        <w:ind w:left="1416" w:hanging="141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35B79" w:rsidRPr="00535B79" w:rsidRDefault="00535B79" w:rsidP="00535B79">
      <w:pPr>
        <w:pStyle w:val="Style3"/>
        <w:spacing w:before="0" w:after="0"/>
        <w:jc w:val="center"/>
        <w:rPr>
          <w:rFonts w:ascii="Arial" w:hAnsi="Arial" w:cs="Arial"/>
          <w:sz w:val="16"/>
          <w:szCs w:val="16"/>
        </w:rPr>
      </w:pPr>
      <w:bookmarkStart w:id="0" w:name="etude_langue"/>
      <w:r w:rsidRPr="00535B79">
        <w:rPr>
          <w:rFonts w:ascii="Arial" w:hAnsi="Arial" w:cs="Arial"/>
          <w:sz w:val="16"/>
          <w:szCs w:val="16"/>
        </w:rPr>
        <w:t>Étude de la langue (grammaire, orthographe, lexique)</w:t>
      </w:r>
    </w:p>
    <w:p w:rsidR="00535B79" w:rsidRPr="00535B79" w:rsidRDefault="00535B79" w:rsidP="00535B79">
      <w:pPr>
        <w:pStyle w:val="Style3"/>
        <w:spacing w:before="0"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11"/>
      </w:tblGrid>
      <w:tr w:rsidR="00535B79" w:rsidRPr="00535B79" w:rsidTr="007A75E9">
        <w:tc>
          <w:tcPr>
            <w:tcW w:w="14144" w:type="dxa"/>
            <w:gridSpan w:val="4"/>
            <w:shd w:val="pct5" w:color="auto" w:fill="auto"/>
          </w:tcPr>
          <w:p w:rsidR="00574DE0" w:rsidRDefault="00574DE0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 w:rsidRPr="00535B79">
              <w:rPr>
                <w:rFonts w:ascii="Arial" w:hAnsi="Arial" w:cs="Arial"/>
                <w:sz w:val="16"/>
                <w:szCs w:val="16"/>
              </w:rPr>
              <w:t>ETUDE DE LA LANGUE</w:t>
            </w:r>
          </w:p>
          <w:p w:rsidR="00574DE0" w:rsidRPr="00535B79" w:rsidRDefault="00574DE0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Maitriser les relations entre l’oral et l’écrit (en lien avec la lecture)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lastRenderedPageBreak/>
              <w:t>ELF 1 :  Connaître les correspondances sons/lettres  ( correspondances  graphophonologiques)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ELF2     Connaître et retrouver  la valeur sonore de certaines lettres par rapport au contexte (exemple : s entre 2 voyelles, 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ge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 xml:space="preserve"> suivi de e ou i …)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3   Connaître et repérer la valeur de certains graphème selon la lettre qui suit (an/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 xml:space="preserve">  en/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 xml:space="preserve"> ..) : règle du m devant p ou b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190"/>
        </w:trPr>
        <w:tc>
          <w:tcPr>
            <w:tcW w:w="12015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Mémoriser et se remémorer l’orthographe de mots fréquents et de mots irréguliers dont le sens est connu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(lien avec l’écriture)</w:t>
            </w:r>
            <w:r w:rsidRPr="00535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4 : Connaître et mémoriser l’orthographe de  mots  invariables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5   Connaître et  mémoriser l’orthographe de  mots d’un même champ lexical, d’une même famille, d’une même série analogique)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6   Connaître et mémoriser l’orthographe de mots relevant du vocabulaire scolaire ou d’un champ disciplinaire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Identifier les principaux constituants d’une phrase simple en relation avec sa cohérence sémantique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(de quoi on parle, ce qu’on en dit)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7    Identifier du groupe nominal sujet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8    Identifier  le  verbe du phrase (connaître les propriétés qui permettent de l’identifier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9    Savoir identifier la classe d’un mot 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Verbe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Déterminant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Adjectif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Pronom (en position sujet)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Mots invariables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10 :Identifier  et transformer des phrases affirmatives et négatives (notamment, transformations liées à l’identification du verbe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ECLF11  Connaître et utiliser la ponctuation de fin de phrases  et les signes du discours rapporté ( guillemets, tirets)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Raisonner pour résoudre des problèmes orthographiques, d’accord essentiellement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12    Comprendre que des éléments d’une phrase fonctionnent ensemble (D/N/ADJ    et groupe sujet/verbe)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13    Comprendre, identifier et effectuer  l’accord sujet/verbe (cas simples)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14    Comprendre qu’écrire ne consiste pas seulement à coder des sons (valeurs grammaticales ou orthographiques de certaines lettres)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ELF15     Comprendre identifier et effectuer les accords à l’intérieur du groupe nominal (accord en genre et en nombre)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16    Repérer et connaître des formations  particulières du pluriel (exemple cheval/chevaux) et du féminin ( lecteur/lectrice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ELF17    Connaître la marque du pluriel pour les verbes ( nt à la 3</w:t>
            </w:r>
            <w:r w:rsidRPr="00535B79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personne du pluriel)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Comprendre comment se forment les verbes et orthographier les formes verbales les plus fréquentes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(lien avec l’écriture)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18  Observer et se familiariser avec la conjugaison au présent, au futur et à l’imparfait de : 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Verbes du premier groupe en er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Verbes  courants :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</w:rPr>
              <w:t>être, avoir, faire, aller, dire, venir, pouvoir, voir, vouloir, prendre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19  Mémorisation des formes les plus fréquentes des verbes précédents (troisième personne du singulier et du pluriel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ELF20   Mémorisation de marques régulières liées à des personnes (-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ons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>, -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ez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>, -nt)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21  Comprendre la construction de la forme conjuguée du verbe (radical ; terminaison)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22  Identifier l’infinitif et le participe passé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23  Observer et identifier la formation du passé composé (notion de temps simple et de temps composé)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24  Observer et identifier les marques liées au temps (imparfait et futur simple)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25  Mémoriser la conjugaison des verbes être et avoir Présent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Au présent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 l’imparfait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Au futur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25   Identifier certains homophones : formes verbales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</w:rPr>
              <w:t>a / est/ ont / sont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distinguées des homophones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</w:rPr>
              <w:t>(à / et / on / son</w:t>
            </w:r>
            <w:r w:rsidRPr="00535B79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Identifier des relations entre les mots, entre les mots et leur contexte d’utilisation ; s’en servir pour mieux comprendre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Attention, ces notions ne sont pas enseignées en tant que telles, ce sont des outils au service de la compréhension)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104"/>
        </w:trPr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26   Identifier des mots de la même famille/ trouver des mots de la même famille (avec ajout de préfixe et suffixe)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 27  Catégoriser des mots / relations entre termes génériques et spécifiques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 28   Identifier et trouver des synonymes d’un mot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lastRenderedPageBreak/>
              <w:t>ELF  29   Identifier et trouver des contraires d’un mots (antonymes)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 30   Observer et repérer la polysémie d’un mot en lien avec le contexte  où le mot est employé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 31   Observer et repérer les sens propre et le sens figuré d’un mot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 32   Distinguer les registres familier, courant, soutenu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</w:rPr>
              <w:t>(lien avec enseignement moral et civique)</w:t>
            </w:r>
            <w:r w:rsidRPr="00535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Étendre ses connaissances lexicales, mémoriser et réutiliser des mots nouvellement appris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(lien avec l’expression orale et écrite)</w:t>
            </w:r>
            <w:r w:rsidRPr="00535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104"/>
        </w:trPr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Chercher la définition d’un mot et utiliser un dictionnaire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Comprendre  un article de dictionnaire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Mobiliser des mots nouveaux en situation d’écriture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5E52" w:rsidRDefault="00715E52">
      <w:pPr>
        <w:rPr>
          <w:rFonts w:ascii="Arial" w:hAnsi="Arial" w:cs="Arial"/>
          <w:sz w:val="16"/>
          <w:szCs w:val="16"/>
        </w:rPr>
      </w:pPr>
    </w:p>
    <w:p w:rsidR="003340F8" w:rsidRDefault="003340F8">
      <w:pPr>
        <w:rPr>
          <w:rFonts w:ascii="Arial" w:hAnsi="Arial" w:cs="Arial"/>
          <w:sz w:val="16"/>
          <w:szCs w:val="16"/>
        </w:rPr>
      </w:pPr>
    </w:p>
    <w:p w:rsidR="003340F8" w:rsidRDefault="003340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Alain </w:t>
      </w:r>
      <w:proofErr w:type="spellStart"/>
      <w:r>
        <w:rPr>
          <w:rFonts w:ascii="Arial" w:hAnsi="Arial" w:cs="Arial"/>
          <w:sz w:val="16"/>
          <w:szCs w:val="16"/>
        </w:rPr>
        <w:t>Riess</w:t>
      </w:r>
      <w:proofErr w:type="spellEnd"/>
    </w:p>
    <w:p w:rsidR="003340F8" w:rsidRDefault="003340F8">
      <w:pPr>
        <w:rPr>
          <w:rFonts w:ascii="Arial" w:hAnsi="Arial" w:cs="Arial"/>
          <w:sz w:val="16"/>
          <w:szCs w:val="16"/>
        </w:rPr>
      </w:pPr>
    </w:p>
    <w:p w:rsidR="003340F8" w:rsidRDefault="003340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CPC Strasbourg 2</w:t>
      </w:r>
    </w:p>
    <w:p w:rsidR="003340F8" w:rsidRDefault="003340F8">
      <w:pPr>
        <w:rPr>
          <w:rFonts w:ascii="Arial" w:hAnsi="Arial" w:cs="Arial"/>
          <w:sz w:val="16"/>
          <w:szCs w:val="16"/>
        </w:rPr>
      </w:pPr>
    </w:p>
    <w:p w:rsidR="003340F8" w:rsidRPr="00535B79" w:rsidRDefault="003340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D’après les programmes 2016</w:t>
      </w:r>
    </w:p>
    <w:sectPr w:rsidR="003340F8" w:rsidRPr="00535B79" w:rsidSect="00334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09FF"/>
    <w:multiLevelType w:val="hybridMultilevel"/>
    <w:tmpl w:val="4C6890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EBC3F22"/>
    <w:multiLevelType w:val="hybridMultilevel"/>
    <w:tmpl w:val="0E8A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7B14"/>
    <w:multiLevelType w:val="hybridMultilevel"/>
    <w:tmpl w:val="240654EE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1E08"/>
    <w:multiLevelType w:val="hybridMultilevel"/>
    <w:tmpl w:val="05A02224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B79"/>
    <w:rsid w:val="003340F8"/>
    <w:rsid w:val="00535B79"/>
    <w:rsid w:val="00574DE0"/>
    <w:rsid w:val="00715E52"/>
    <w:rsid w:val="009E4E3E"/>
    <w:rsid w:val="00FD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5B7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link w:val="Style3Car"/>
    <w:uiPriority w:val="99"/>
    <w:rsid w:val="00535B79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535B79"/>
    <w:rPr>
      <w:rFonts w:ascii="Calibri" w:eastAsia="Calibri" w:hAnsi="Calibri" w:cs="Times New Roman"/>
      <w:b/>
      <w:bCs/>
      <w:color w:val="007F9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3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5B7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535B79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535B79"/>
    <w:rPr>
      <w:rFonts w:ascii="Calibri" w:eastAsia="Calibri" w:hAnsi="Calibri" w:cs="Times New Roman"/>
      <w:b/>
      <w:bCs/>
      <w:color w:val="007F9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3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AFR</cp:lastModifiedBy>
  <cp:revision>2</cp:revision>
  <dcterms:created xsi:type="dcterms:W3CDTF">2016-03-01T16:26:00Z</dcterms:created>
  <dcterms:modified xsi:type="dcterms:W3CDTF">2016-03-01T16:26:00Z</dcterms:modified>
</cp:coreProperties>
</file>